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D112C" w14:textId="77777777" w:rsidR="001F7878" w:rsidRDefault="001F7878" w:rsidP="001F7878">
      <w:pPr>
        <w:rPr>
          <w:rFonts w:ascii="Arial" w:eastAsia="Times New Roman" w:hAnsi="Arial" w:cs="Arial"/>
          <w:b/>
          <w:bCs/>
          <w:color w:val="000000"/>
        </w:rPr>
      </w:pPr>
      <w:r>
        <w:rPr>
          <w:rFonts w:ascii="Arial" w:eastAsia="Times New Roman" w:hAnsi="Arial" w:cs="Arial"/>
          <w:b/>
          <w:bCs/>
          <w:color w:val="000000"/>
        </w:rPr>
        <w:t>Ministerium für Soziales und Integration (SM) I: Neufassung der Corona Hauptverordnung</w:t>
      </w:r>
    </w:p>
    <w:p w14:paraId="63E89874" w14:textId="77777777" w:rsidR="001F7878" w:rsidRPr="001F7878" w:rsidRDefault="001F7878" w:rsidP="001F7878">
      <w:pPr>
        <w:rPr>
          <w:rFonts w:ascii="Arial" w:hAnsi="Arial" w:cs="Arial"/>
          <w:color w:val="000000"/>
        </w:rPr>
      </w:pPr>
      <w:r w:rsidRPr="001F7878">
        <w:rPr>
          <w:rFonts w:ascii="Arial" w:hAnsi="Arial" w:cs="Arial"/>
          <w:color w:val="000000"/>
        </w:rPr>
        <w:t xml:space="preserve">Die Landesregierung hat heute (30.11.2020) die Neufassung der </w:t>
      </w:r>
      <w:proofErr w:type="spellStart"/>
      <w:r w:rsidRPr="001F7878">
        <w:rPr>
          <w:rFonts w:ascii="Arial" w:hAnsi="Arial" w:cs="Arial"/>
          <w:color w:val="000000"/>
        </w:rPr>
        <w:t>CoronaVO</w:t>
      </w:r>
      <w:proofErr w:type="spellEnd"/>
      <w:r w:rsidRPr="001F7878">
        <w:rPr>
          <w:rFonts w:ascii="Arial" w:hAnsi="Arial" w:cs="Arial"/>
          <w:color w:val="000000"/>
        </w:rPr>
        <w:t xml:space="preserve"> notverkündet, welche am 01.12.2020 in Kraft tritt. Gleichzeitig tritt die Corona-Verordnung vom 23. Juni 2020 (GBl. S. 483), die zuletzt durch Artikel 1 der Verordnung vom 17. November 2020 (GBl. S. 1052) geändert worden ist, außer Kraft. Die </w:t>
      </w:r>
      <w:proofErr w:type="spellStart"/>
      <w:r w:rsidRPr="001F7878">
        <w:rPr>
          <w:rFonts w:ascii="Arial" w:hAnsi="Arial" w:cs="Arial"/>
          <w:color w:val="000000"/>
        </w:rPr>
        <w:t>CoronaVO</w:t>
      </w:r>
      <w:proofErr w:type="spellEnd"/>
      <w:r w:rsidRPr="001F7878">
        <w:rPr>
          <w:rFonts w:ascii="Arial" w:hAnsi="Arial" w:cs="Arial"/>
          <w:color w:val="000000"/>
        </w:rPr>
        <w:t xml:space="preserve"> ist – sowie alle Unterverordnungen – aufgrund eines Landtagsbeschlusses zunächst bis zum 27. Dezember befristet; eine Verlängerung scheint derzeit allerdings nicht ausgeschlossen. Die § 13 Absätze 2 bis 4 treten bereits mit Ablauf des 20. Dezembers 2020 außer Kraft.</w:t>
      </w:r>
    </w:p>
    <w:p w14:paraId="6D2D8150" w14:textId="77777777" w:rsidR="001F7878" w:rsidRDefault="001F7878" w:rsidP="001F7878">
      <w:pPr>
        <w:pStyle w:val="Listenabsatz"/>
        <w:rPr>
          <w:rFonts w:ascii="Arial" w:hAnsi="Arial" w:cs="Arial"/>
          <w:color w:val="000000"/>
        </w:rPr>
      </w:pPr>
    </w:p>
    <w:p w14:paraId="05C6DED7" w14:textId="77777777" w:rsidR="001F7878" w:rsidRPr="001F7878" w:rsidRDefault="001F7878" w:rsidP="001F7878">
      <w:pPr>
        <w:rPr>
          <w:rFonts w:ascii="Arial" w:hAnsi="Arial" w:cs="Arial"/>
          <w:color w:val="000000"/>
        </w:rPr>
      </w:pPr>
      <w:r w:rsidRPr="001F7878">
        <w:rPr>
          <w:rFonts w:ascii="Arial" w:hAnsi="Arial" w:cs="Arial"/>
          <w:color w:val="000000"/>
        </w:rPr>
        <w:t xml:space="preserve">Insgesamt wurden die bisherigen verschärfenden Regelungen des § 1a </w:t>
      </w:r>
      <w:proofErr w:type="spellStart"/>
      <w:r w:rsidRPr="001F7878">
        <w:rPr>
          <w:rFonts w:ascii="Arial" w:hAnsi="Arial" w:cs="Arial"/>
          <w:color w:val="000000"/>
        </w:rPr>
        <w:t>CoronaVO</w:t>
      </w:r>
      <w:proofErr w:type="spellEnd"/>
      <w:r w:rsidRPr="001F7878">
        <w:rPr>
          <w:rFonts w:ascii="Arial" w:hAnsi="Arial" w:cs="Arial"/>
          <w:color w:val="000000"/>
        </w:rPr>
        <w:t xml:space="preserve"> weitestgehend in die jetzt neu gefasste </w:t>
      </w:r>
      <w:proofErr w:type="spellStart"/>
      <w:r w:rsidRPr="001F7878">
        <w:rPr>
          <w:rFonts w:ascii="Arial" w:hAnsi="Arial" w:cs="Arial"/>
          <w:color w:val="000000"/>
        </w:rPr>
        <w:t>CoronaVO</w:t>
      </w:r>
      <w:proofErr w:type="spellEnd"/>
      <w:r w:rsidRPr="001F7878">
        <w:rPr>
          <w:rFonts w:ascii="Arial" w:hAnsi="Arial" w:cs="Arial"/>
          <w:color w:val="000000"/>
        </w:rPr>
        <w:t xml:space="preserve"> überführt und teilweise ausgeweitet. </w:t>
      </w:r>
      <w:r w:rsidRPr="001F7878">
        <w:rPr>
          <w:rFonts w:ascii="Arial" w:hAnsi="Arial" w:cs="Arial"/>
        </w:rPr>
        <w:t xml:space="preserve">Im Wesentlichen wurden – </w:t>
      </w:r>
      <w:proofErr w:type="gramStart"/>
      <w:r w:rsidRPr="001F7878">
        <w:rPr>
          <w:rFonts w:ascii="Arial" w:hAnsi="Arial" w:cs="Arial"/>
        </w:rPr>
        <w:t>aufgrund des MPK-Beschluss</w:t>
      </w:r>
      <w:proofErr w:type="gramEnd"/>
      <w:r w:rsidRPr="001F7878">
        <w:rPr>
          <w:rFonts w:ascii="Arial" w:hAnsi="Arial" w:cs="Arial"/>
        </w:rPr>
        <w:t xml:space="preserve"> vom 25.11.2020 (als Anlage nochmals beigefügt) – folgende Regelungsinhalte beschlossen:</w:t>
      </w:r>
    </w:p>
    <w:p w14:paraId="395F8C7D" w14:textId="77777777" w:rsidR="001F7878" w:rsidRDefault="001F7878" w:rsidP="001F7878">
      <w:pPr>
        <w:rPr>
          <w:rFonts w:ascii="Arial" w:hAnsi="Arial" w:cs="Arial"/>
        </w:rPr>
      </w:pPr>
    </w:p>
    <w:p w14:paraId="219D5B99" w14:textId="77777777" w:rsidR="001F7878" w:rsidRDefault="001F7878" w:rsidP="001F7878">
      <w:pPr>
        <w:numPr>
          <w:ilvl w:val="0"/>
          <w:numId w:val="2"/>
        </w:numPr>
        <w:rPr>
          <w:rFonts w:ascii="Arial" w:eastAsia="Times New Roman" w:hAnsi="Arial" w:cs="Arial"/>
          <w:b/>
          <w:bCs/>
        </w:rPr>
      </w:pPr>
      <w:r>
        <w:rPr>
          <w:rFonts w:ascii="Arial" w:eastAsia="Times New Roman" w:hAnsi="Arial" w:cs="Arial"/>
          <w:b/>
          <w:bCs/>
        </w:rPr>
        <w:t xml:space="preserve">Maskenpflicht (§ 3 Abs. 1): </w:t>
      </w:r>
      <w:r>
        <w:rPr>
          <w:rFonts w:ascii="Arial" w:eastAsia="Times New Roman" w:hAnsi="Arial" w:cs="Arial"/>
        </w:rPr>
        <w:t>Weitere Ausweitung der Maskenpflicht</w:t>
      </w:r>
      <w:r>
        <w:rPr>
          <w:rFonts w:ascii="Arial" w:eastAsia="Times New Roman" w:hAnsi="Arial" w:cs="Arial"/>
          <w:color w:val="000000"/>
        </w:rPr>
        <w:t xml:space="preserve">, u. a. </w:t>
      </w:r>
      <w:r>
        <w:rPr>
          <w:rFonts w:ascii="Arial" w:eastAsia="Times New Roman" w:hAnsi="Arial" w:cs="Arial"/>
        </w:rPr>
        <w:t xml:space="preserve">gilt die Maskenpflicht verpflichtend vor Ladengeschäften sowie auf </w:t>
      </w:r>
      <w:r>
        <w:rPr>
          <w:rFonts w:ascii="Arial" w:eastAsia="Times New Roman" w:hAnsi="Arial" w:cs="Arial"/>
          <w:color w:val="000000"/>
        </w:rPr>
        <w:t xml:space="preserve">den </w:t>
      </w:r>
      <w:r>
        <w:rPr>
          <w:rFonts w:ascii="Arial" w:eastAsia="Times New Roman" w:hAnsi="Arial" w:cs="Arial"/>
        </w:rPr>
        <w:t>diesen räumlich zugeordneten Parkflächen (Nr. 4).</w:t>
      </w:r>
    </w:p>
    <w:p w14:paraId="2CCFBB4C" w14:textId="77777777" w:rsidR="001F7878" w:rsidRDefault="001F7878" w:rsidP="001F7878">
      <w:pPr>
        <w:pStyle w:val="Listenabsatz"/>
        <w:ind w:left="1068"/>
        <w:rPr>
          <w:rFonts w:ascii="Arial" w:hAnsi="Arial" w:cs="Arial"/>
          <w:color w:val="000000"/>
        </w:rPr>
      </w:pPr>
      <w:r>
        <w:rPr>
          <w:rFonts w:ascii="Arial" w:hAnsi="Arial" w:cs="Arial"/>
        </w:rPr>
        <w:t>Grundsätzlich lässt sich konstatieren, dass jede Person in geschlossenen Räumen, die öffentlich oder im Rahmen eines Besuchs- oder Kundenverkehrs zugänglich sind, eine Mund-Nasen-Bedeckung zu</w:t>
      </w:r>
      <w:r>
        <w:rPr>
          <w:rFonts w:ascii="Arial" w:hAnsi="Arial" w:cs="Arial"/>
          <w:color w:val="000000"/>
        </w:rPr>
        <w:t xml:space="preserve"> </w:t>
      </w:r>
      <w:r>
        <w:rPr>
          <w:rFonts w:ascii="Arial" w:hAnsi="Arial" w:cs="Arial"/>
        </w:rPr>
        <w:t>tragen hat. Darüber hinaus gilt die Maskenpflicht an allen Orten mit Publikumsverkehr in Innenstädten und Örtlichkeiten in der Öffentlichkeit unter freiem Himmel, an denen sich Menschen entweder auf engem Raum oder nicht nur vorübergehend aufhalten.</w:t>
      </w:r>
      <w:r>
        <w:rPr>
          <w:rFonts w:ascii="Arial" w:hAnsi="Arial" w:cs="Arial"/>
          <w:color w:val="000000"/>
        </w:rPr>
        <w:t xml:space="preserve"> Die zuständige Behörde kann zudem auf Wegen im Sinne des § 3 Absatz 2 Nummer 4 Buchstabe d Straßengesetz ebenfalls eine Maskenpflicht verfügen.</w:t>
      </w:r>
    </w:p>
    <w:p w14:paraId="38512DB9" w14:textId="77777777" w:rsidR="001F7878" w:rsidRDefault="001F7878" w:rsidP="001F7878">
      <w:pPr>
        <w:pStyle w:val="Listenabsatz"/>
        <w:ind w:left="1068"/>
        <w:rPr>
          <w:rFonts w:ascii="Arial" w:hAnsi="Arial" w:cs="Arial"/>
        </w:rPr>
      </w:pPr>
    </w:p>
    <w:p w14:paraId="1D53E741" w14:textId="77777777" w:rsidR="001F7878" w:rsidRDefault="001F7878" w:rsidP="001F7878">
      <w:pPr>
        <w:pStyle w:val="Listenabsatz"/>
        <w:ind w:left="1068"/>
        <w:rPr>
          <w:rFonts w:ascii="Arial" w:hAnsi="Arial" w:cs="Arial"/>
          <w:b/>
          <w:bCs/>
          <w:u w:val="single"/>
        </w:rPr>
      </w:pPr>
      <w:r>
        <w:rPr>
          <w:rFonts w:ascii="Arial" w:hAnsi="Arial" w:cs="Arial"/>
          <w:b/>
          <w:bCs/>
          <w:u w:val="single"/>
        </w:rPr>
        <w:t>Für Schulen gilt eine Maskenpflicht an allen weiterführenden Schulen auch im Unterricht.</w:t>
      </w:r>
    </w:p>
    <w:p w14:paraId="36DB624F" w14:textId="77777777" w:rsidR="001F7878" w:rsidRDefault="001F7878" w:rsidP="001F7878">
      <w:pPr>
        <w:pStyle w:val="Listenabsatz"/>
        <w:ind w:left="1068"/>
        <w:rPr>
          <w:rFonts w:ascii="Arial" w:hAnsi="Arial" w:cs="Arial"/>
        </w:rPr>
      </w:pPr>
    </w:p>
    <w:p w14:paraId="1957454C" w14:textId="77777777" w:rsidR="001F7878" w:rsidRDefault="001F7878" w:rsidP="001F7878">
      <w:pPr>
        <w:numPr>
          <w:ilvl w:val="0"/>
          <w:numId w:val="2"/>
        </w:numPr>
        <w:rPr>
          <w:rFonts w:ascii="Arial" w:eastAsia="Times New Roman" w:hAnsi="Arial" w:cs="Arial"/>
          <w:b/>
          <w:bCs/>
        </w:rPr>
      </w:pPr>
      <w:r>
        <w:rPr>
          <w:rFonts w:ascii="Arial" w:eastAsia="Times New Roman" w:hAnsi="Arial" w:cs="Arial"/>
          <w:b/>
          <w:bCs/>
        </w:rPr>
        <w:t xml:space="preserve">Ansammlungen und private Veranstaltungen (§ 9): </w:t>
      </w:r>
      <w:r>
        <w:rPr>
          <w:rFonts w:ascii="Arial" w:eastAsia="Times New Roman" w:hAnsi="Arial" w:cs="Arial"/>
        </w:rPr>
        <w:t xml:space="preserve">Nach Abs. 1 Nr. 2 darf sich eine Person (Ausgangsperson) mit Angehörigen aus dem eigenen Haushalt und mit den Angehörigen aus einem weiteren Haushalt sowie mit Verwandten in gerader Linie treffen, </w:t>
      </w:r>
      <w:r>
        <w:rPr>
          <w:rFonts w:ascii="Arial" w:eastAsia="Times New Roman" w:hAnsi="Arial" w:cs="Arial"/>
          <w:b/>
          <w:bCs/>
          <w:u w:val="single"/>
        </w:rPr>
        <w:t>sofern sich insgesamt nicht mehr als 5 Personen treffen</w:t>
      </w:r>
      <w:r>
        <w:rPr>
          <w:rFonts w:ascii="Arial" w:eastAsia="Times New Roman" w:hAnsi="Arial" w:cs="Arial"/>
        </w:rPr>
        <w:t xml:space="preserve">. Kinder dieser Haushalte bis zur Vollendung des 15. Lebensjahres (d.h. einschließlich 14 Jahre) werden hierbei nicht mitgezählt. Die Person (Ausgangsperson) selbst oder die Angehörigen aus dem weiteren Haushalt bzw. Verwandten in gerader Linie dürfen </w:t>
      </w:r>
      <w:r>
        <w:rPr>
          <w:rFonts w:ascii="Arial" w:eastAsia="Times New Roman" w:hAnsi="Arial" w:cs="Arial"/>
          <w:color w:val="000000"/>
        </w:rPr>
        <w:t xml:space="preserve">– im Rahmen der zulässigen 5 Personen – </w:t>
      </w:r>
      <w:r>
        <w:rPr>
          <w:rFonts w:ascii="Arial" w:eastAsia="Times New Roman" w:hAnsi="Arial" w:cs="Arial"/>
        </w:rPr>
        <w:t>jeweils</w:t>
      </w:r>
      <w:r>
        <w:rPr>
          <w:rFonts w:ascii="Arial" w:eastAsia="Times New Roman" w:hAnsi="Arial" w:cs="Arial"/>
          <w:color w:val="000000"/>
        </w:rPr>
        <w:t xml:space="preserve"> </w:t>
      </w:r>
      <w:r>
        <w:rPr>
          <w:rFonts w:ascii="Arial" w:eastAsia="Times New Roman" w:hAnsi="Arial" w:cs="Arial"/>
        </w:rPr>
        <w:t xml:space="preserve">ihre Ehegatten, Lebenspartnerinnen und Lebenspartner, Partnerinnen und Partner einer nichtehelichen Lebensgemeinschaft mitbringen. Das bedeutet, dass die Personen auch aus mehr als zwei Haushalten kommen können, wenn die oben genannten Kriterien zutreffen. </w:t>
      </w:r>
    </w:p>
    <w:p w14:paraId="440A2ADC" w14:textId="77777777" w:rsidR="001F7878" w:rsidRDefault="001F7878" w:rsidP="001F7878">
      <w:pPr>
        <w:rPr>
          <w:rFonts w:ascii="Arial" w:hAnsi="Arial" w:cs="Arial"/>
          <w:b/>
          <w:bCs/>
        </w:rPr>
      </w:pPr>
    </w:p>
    <w:p w14:paraId="551B00E1" w14:textId="77777777" w:rsidR="001F7878" w:rsidRDefault="001F7878" w:rsidP="001F7878">
      <w:pPr>
        <w:numPr>
          <w:ilvl w:val="1"/>
          <w:numId w:val="2"/>
        </w:numPr>
        <w:rPr>
          <w:rFonts w:ascii="Arial" w:eastAsia="Times New Roman" w:hAnsi="Arial" w:cs="Arial"/>
        </w:rPr>
      </w:pPr>
      <w:r>
        <w:rPr>
          <w:rFonts w:ascii="Arial" w:eastAsia="Times New Roman" w:hAnsi="Arial" w:cs="Arial"/>
          <w:b/>
          <w:bCs/>
        </w:rPr>
        <w:t>Während der Weihnachtsfeiertage</w:t>
      </w:r>
      <w:r>
        <w:rPr>
          <w:rFonts w:ascii="Arial" w:eastAsia="Times New Roman" w:hAnsi="Arial" w:cs="Arial"/>
        </w:rPr>
        <w:t xml:space="preserve">  –  in der Zeit vom 23. bis 27. Dezember 2020 – sind Ansammlungen und private Veranstaltungen nur gestattet </w:t>
      </w:r>
      <w:r>
        <w:rPr>
          <w:rFonts w:ascii="Arial" w:eastAsia="Times New Roman" w:hAnsi="Arial" w:cs="Arial"/>
          <w:b/>
          <w:bCs/>
          <w:u w:val="single"/>
        </w:rPr>
        <w:t>mit insgesamt nicht mehr als 10 Personen aus verschiedenen Haushalten</w:t>
      </w:r>
      <w:r>
        <w:rPr>
          <w:rFonts w:ascii="Arial" w:eastAsia="Times New Roman" w:hAnsi="Arial" w:cs="Arial"/>
        </w:rPr>
        <w:t>; Kinder der jeweiligen Haushalte bis einschließlich 14 Jahre sind hiervon ausgenommen.</w:t>
      </w:r>
      <w:r>
        <w:rPr>
          <w:rFonts w:ascii="Arial" w:eastAsia="Times New Roman" w:hAnsi="Arial" w:cs="Arial"/>
          <w:color w:val="000000"/>
        </w:rPr>
        <w:t xml:space="preserve"> Darüber hinaus ist es in dieser Zeit ebenfalls </w:t>
      </w:r>
      <w:r>
        <w:rPr>
          <w:rFonts w:ascii="Arial" w:eastAsia="Times New Roman" w:hAnsi="Arial" w:cs="Arial"/>
          <w:b/>
          <w:bCs/>
          <w:color w:val="000000"/>
          <w:u w:val="single"/>
        </w:rPr>
        <w:t>gestattet entsprechende Übernachtungen zu Familienbesuchen in Beherbergungsbetrieben (Hotels etc.) wahrzunehmen – siehe hierzu auch beigefügte Begründung</w:t>
      </w:r>
      <w:r>
        <w:rPr>
          <w:rFonts w:ascii="Arial" w:eastAsia="Times New Roman" w:hAnsi="Arial" w:cs="Arial"/>
          <w:color w:val="000000"/>
        </w:rPr>
        <w:t>.</w:t>
      </w:r>
    </w:p>
    <w:p w14:paraId="07FD921B" w14:textId="77777777" w:rsidR="001F7878" w:rsidRDefault="001F7878" w:rsidP="001F7878">
      <w:pPr>
        <w:pStyle w:val="Listenabsatz"/>
        <w:ind w:left="1788"/>
        <w:rPr>
          <w:rFonts w:ascii="Arial" w:hAnsi="Arial" w:cs="Arial"/>
        </w:rPr>
      </w:pPr>
    </w:p>
    <w:p w14:paraId="25DACB89" w14:textId="77777777" w:rsidR="001F7878" w:rsidRDefault="001F7878" w:rsidP="001F7878">
      <w:pPr>
        <w:numPr>
          <w:ilvl w:val="0"/>
          <w:numId w:val="2"/>
        </w:numPr>
        <w:rPr>
          <w:rFonts w:ascii="Arial" w:eastAsia="Times New Roman" w:hAnsi="Arial" w:cs="Arial"/>
          <w:b/>
          <w:bCs/>
        </w:rPr>
      </w:pPr>
      <w:r>
        <w:rPr>
          <w:rFonts w:ascii="Arial" w:eastAsia="Times New Roman" w:hAnsi="Arial" w:cs="Arial"/>
          <w:b/>
          <w:bCs/>
        </w:rPr>
        <w:t xml:space="preserve">Betriebsuntersagungen und Einschränkungen von Einrichtungen (§13): </w:t>
      </w:r>
      <w:r>
        <w:rPr>
          <w:rFonts w:ascii="Arial" w:eastAsia="Times New Roman" w:hAnsi="Arial" w:cs="Arial"/>
        </w:rPr>
        <w:t>Die ursprünglichen Betriebseinschränkungen des § 1</w:t>
      </w:r>
      <w:r>
        <w:rPr>
          <w:rFonts w:ascii="Arial" w:eastAsia="Times New Roman" w:hAnsi="Arial" w:cs="Arial"/>
          <w:color w:val="000000"/>
        </w:rPr>
        <w:t>a</w:t>
      </w:r>
      <w:r>
        <w:rPr>
          <w:rFonts w:ascii="Arial" w:eastAsia="Times New Roman" w:hAnsi="Arial" w:cs="Arial"/>
        </w:rPr>
        <w:t xml:space="preserve"> Abs. 6 </w:t>
      </w:r>
      <w:proofErr w:type="spellStart"/>
      <w:r>
        <w:rPr>
          <w:rFonts w:ascii="Arial" w:eastAsia="Times New Roman" w:hAnsi="Arial" w:cs="Arial"/>
        </w:rPr>
        <w:t>CoronaVO</w:t>
      </w:r>
      <w:proofErr w:type="spellEnd"/>
      <w:r>
        <w:rPr>
          <w:rFonts w:ascii="Arial" w:eastAsia="Times New Roman" w:hAnsi="Arial" w:cs="Arial"/>
        </w:rPr>
        <w:t xml:space="preserve"> („November-Lockdown“) wurden weitestgehend in § 13 überführt:</w:t>
      </w:r>
    </w:p>
    <w:p w14:paraId="55BF0350" w14:textId="77777777" w:rsidR="001F7878" w:rsidRDefault="001F7878" w:rsidP="001F7878">
      <w:pPr>
        <w:numPr>
          <w:ilvl w:val="2"/>
          <w:numId w:val="3"/>
        </w:numPr>
        <w:rPr>
          <w:rFonts w:ascii="Arial" w:eastAsia="Times New Roman" w:hAnsi="Arial" w:cs="Arial"/>
          <w:b/>
          <w:bCs/>
          <w:u w:val="single"/>
        </w:rPr>
      </w:pPr>
      <w:r>
        <w:rPr>
          <w:rFonts w:ascii="Arial" w:eastAsia="Times New Roman" w:hAnsi="Arial" w:cs="Arial"/>
          <w:b/>
          <w:bCs/>
          <w:u w:val="single"/>
        </w:rPr>
        <w:t>Absatz 1:</w:t>
      </w:r>
    </w:p>
    <w:p w14:paraId="1BEEE4EA" w14:textId="77777777" w:rsidR="001F7878" w:rsidRDefault="001F7878" w:rsidP="001F7878">
      <w:pPr>
        <w:numPr>
          <w:ilvl w:val="1"/>
          <w:numId w:val="4"/>
        </w:numPr>
        <w:rPr>
          <w:rFonts w:ascii="Arial" w:eastAsia="Times New Roman" w:hAnsi="Arial" w:cs="Arial"/>
          <w:color w:val="000000"/>
        </w:rPr>
      </w:pPr>
      <w:r>
        <w:rPr>
          <w:rFonts w:ascii="Arial" w:eastAsia="Times New Roman" w:hAnsi="Arial" w:cs="Arial"/>
          <w:b/>
          <w:bCs/>
          <w:color w:val="000000"/>
        </w:rPr>
        <w:lastRenderedPageBreak/>
        <w:t xml:space="preserve">Nr. 2 Kunst- und Kultureinrichtungen: </w:t>
      </w:r>
      <w:r>
        <w:rPr>
          <w:rFonts w:ascii="Arial" w:eastAsia="Times New Roman" w:hAnsi="Arial" w:cs="Arial"/>
          <w:color w:val="000000"/>
        </w:rPr>
        <w:t xml:space="preserve">Neben Theatern, Opern, Konzerthäusern und Kinos werden auch Museen und alle anderen Einrichtungen, </w:t>
      </w:r>
      <w:r>
        <w:rPr>
          <w:rFonts w:ascii="Arial" w:eastAsia="Times New Roman" w:hAnsi="Arial" w:cs="Arial"/>
          <w:color w:val="000000"/>
          <w:u w:val="single"/>
        </w:rPr>
        <w:t>in denen entgeltlich oder unentgeltlich Kunst- und Kulturangebote dargeboten werden</w:t>
      </w:r>
      <w:r>
        <w:rPr>
          <w:rFonts w:ascii="Arial" w:eastAsia="Times New Roman" w:hAnsi="Arial" w:cs="Arial"/>
          <w:color w:val="000000"/>
        </w:rPr>
        <w:t xml:space="preserve">, von der Untersagung umfasst. Der Probebetrieb in </w:t>
      </w:r>
      <w:proofErr w:type="gramStart"/>
      <w:r>
        <w:rPr>
          <w:rFonts w:ascii="Arial" w:eastAsia="Times New Roman" w:hAnsi="Arial" w:cs="Arial"/>
          <w:color w:val="000000"/>
        </w:rPr>
        <w:t>Theatern,  Opern</w:t>
      </w:r>
      <w:proofErr w:type="gramEnd"/>
      <w:r>
        <w:rPr>
          <w:rFonts w:ascii="Arial" w:eastAsia="Times New Roman" w:hAnsi="Arial" w:cs="Arial"/>
          <w:color w:val="000000"/>
        </w:rPr>
        <w:t xml:space="preserve">, Konzerthäusern und ähnlichen Einrichtungen wird aufrechterhalten, so dass den Betreibern die nahtlose Wiederaufnahme des Betriebs nach Ablauf der befristeten Maßnahmen möglich ist. </w:t>
      </w:r>
      <w:r>
        <w:rPr>
          <w:rFonts w:ascii="Arial" w:eastAsia="Times New Roman" w:hAnsi="Arial" w:cs="Arial"/>
          <w:color w:val="000000"/>
          <w:u w:val="single"/>
        </w:rPr>
        <w:t>Nicht gestattet ist dagegen der Probenbetrieb durch Amateurgruppen und Hobbyvereine als Veranstaltungen der Breitenkultur.</w:t>
      </w:r>
    </w:p>
    <w:p w14:paraId="36D0981C" w14:textId="77777777" w:rsidR="001F7878" w:rsidRDefault="001F7878" w:rsidP="001F7878">
      <w:pPr>
        <w:numPr>
          <w:ilvl w:val="2"/>
          <w:numId w:val="5"/>
        </w:numPr>
        <w:rPr>
          <w:rFonts w:ascii="Arial" w:eastAsia="Times New Roman" w:hAnsi="Arial" w:cs="Arial"/>
          <w:color w:val="000000"/>
        </w:rPr>
      </w:pPr>
      <w:r>
        <w:rPr>
          <w:rFonts w:ascii="Arial" w:eastAsia="Times New Roman" w:hAnsi="Arial" w:cs="Arial"/>
          <w:b/>
          <w:bCs/>
          <w:color w:val="000000"/>
        </w:rPr>
        <w:t xml:space="preserve">Ausgenommen </w:t>
      </w:r>
      <w:proofErr w:type="gramStart"/>
      <w:r>
        <w:rPr>
          <w:rFonts w:ascii="Arial" w:eastAsia="Times New Roman" w:hAnsi="Arial" w:cs="Arial"/>
          <w:b/>
          <w:bCs/>
          <w:color w:val="000000"/>
        </w:rPr>
        <w:t>vom diesem Verbot</w:t>
      </w:r>
      <w:proofErr w:type="gramEnd"/>
      <w:r>
        <w:rPr>
          <w:rFonts w:ascii="Arial" w:eastAsia="Times New Roman" w:hAnsi="Arial" w:cs="Arial"/>
          <w:color w:val="000000"/>
        </w:rPr>
        <w:t xml:space="preserve"> sind Bibliotheken, Musikschulen, Kunstschulen und Jugendkunstschulen. Diese sind als Teil des für die Zukunft der Gesellschaft besonders bedeutsamen Bereichs „Schule und Bildung“ nicht von den vorübergehenden Maßnahmen erfasst. </w:t>
      </w:r>
      <w:r>
        <w:rPr>
          <w:rFonts w:ascii="Arial" w:eastAsia="Times New Roman" w:hAnsi="Arial" w:cs="Arial"/>
          <w:color w:val="000000"/>
          <w:u w:val="single"/>
        </w:rPr>
        <w:t>Musikschule in diesem Sinne ist auch der Musikverein, während er Musikunterricht anbietet und wenn die gleichen Standards eingehalten werden, die auch für Musikschulen gelten.</w:t>
      </w:r>
      <w:r>
        <w:rPr>
          <w:rFonts w:ascii="Arial" w:eastAsia="Times New Roman" w:hAnsi="Arial" w:cs="Arial"/>
          <w:color w:val="000000"/>
        </w:rPr>
        <w:t xml:space="preserve"> Chorproben sind definitiv untersagt.  </w:t>
      </w:r>
    </w:p>
    <w:p w14:paraId="7B683F5D" w14:textId="77777777" w:rsidR="001F7878" w:rsidRDefault="001F7878" w:rsidP="001F7878">
      <w:pPr>
        <w:numPr>
          <w:ilvl w:val="1"/>
          <w:numId w:val="4"/>
        </w:numPr>
        <w:rPr>
          <w:rFonts w:ascii="Arial" w:eastAsia="Times New Roman" w:hAnsi="Arial" w:cs="Arial"/>
          <w:color w:val="000000"/>
        </w:rPr>
      </w:pPr>
      <w:r>
        <w:rPr>
          <w:rFonts w:ascii="Arial" w:eastAsia="Times New Roman" w:hAnsi="Arial" w:cs="Arial"/>
          <w:b/>
          <w:bCs/>
          <w:color w:val="000000"/>
        </w:rPr>
        <w:t xml:space="preserve">Nr. 5 Freizeiteinrichtungen: </w:t>
      </w:r>
      <w:r>
        <w:rPr>
          <w:rFonts w:ascii="Arial" w:eastAsia="Times New Roman" w:hAnsi="Arial" w:cs="Arial"/>
          <w:color w:val="000000"/>
        </w:rPr>
        <w:t>Auch das Angebot von Freizeitparks sowie zoologischen und botanischen Gärten sowie sonstigen besonderen Freizeiteinrichtungen (z.B. Tierparks, touristische Ausflugsschiffe, mobile Eisbahnen, Kletterparks, Hochseilgärten, Indoor-Spielplätze oder Trampolinhallen) ist untersagt.</w:t>
      </w:r>
    </w:p>
    <w:p w14:paraId="6953C0C7" w14:textId="77777777" w:rsidR="001F7878" w:rsidRDefault="001F7878" w:rsidP="001F7878">
      <w:pPr>
        <w:numPr>
          <w:ilvl w:val="1"/>
          <w:numId w:val="4"/>
        </w:numPr>
        <w:rPr>
          <w:rFonts w:ascii="Arial" w:eastAsia="Times New Roman" w:hAnsi="Arial" w:cs="Arial"/>
          <w:color w:val="000000"/>
        </w:rPr>
      </w:pPr>
      <w:r>
        <w:rPr>
          <w:rFonts w:ascii="Arial" w:eastAsia="Times New Roman" w:hAnsi="Arial" w:cs="Arial"/>
          <w:b/>
          <w:bCs/>
          <w:color w:val="000000"/>
        </w:rPr>
        <w:t xml:space="preserve">Nr. 6 Sportanlagen und Sportstätten: </w:t>
      </w:r>
      <w:r>
        <w:rPr>
          <w:rFonts w:ascii="Arial" w:eastAsia="Times New Roman" w:hAnsi="Arial" w:cs="Arial"/>
          <w:color w:val="000000"/>
        </w:rPr>
        <w:t xml:space="preserve">Die Ausübung sportlicher Aktivitäten, an denen zeitgleich mehr als zwei Personen beteiligt sind, die nicht zu einem Haushalt gehören, ist in allen hierfür vorgesehenen Anlagen und Einrichtungen – unabhängig ob öffentlich oder privat – untersagt. Diese personenbezogene Einschränkung gilt für die gesamte Sportanlage, das heißt bei Tennishallen mit mehreren Tennisplätzen, dass auch hier maximal zwei Personen spielen dürfen, die nicht einem Haushalt angehören. Im Umkehrschluss ist die Benutzung von Sportanlagen für gleichzeitig bis zu zwei individualsportlich aktiven Personen zulässig. </w:t>
      </w:r>
    </w:p>
    <w:p w14:paraId="4D178502" w14:textId="77777777" w:rsidR="001F7878" w:rsidRDefault="001F7878" w:rsidP="001F7878">
      <w:pPr>
        <w:numPr>
          <w:ilvl w:val="2"/>
          <w:numId w:val="6"/>
        </w:numPr>
        <w:rPr>
          <w:rFonts w:ascii="Arial" w:eastAsia="Times New Roman" w:hAnsi="Arial" w:cs="Arial"/>
          <w:color w:val="000000"/>
        </w:rPr>
      </w:pPr>
      <w:r>
        <w:rPr>
          <w:rFonts w:ascii="Arial" w:eastAsia="Times New Roman" w:hAnsi="Arial" w:cs="Arial"/>
          <w:b/>
          <w:bCs/>
          <w:color w:val="000000"/>
        </w:rPr>
        <w:t>Nur im Freien dürfen weitläufige Sportanlagen und Sportstätten</w:t>
      </w:r>
      <w:r>
        <w:rPr>
          <w:rFonts w:ascii="Arial" w:eastAsia="Times New Roman" w:hAnsi="Arial" w:cs="Arial"/>
          <w:color w:val="000000"/>
        </w:rPr>
        <w:t xml:space="preserve">, wie z.B. Golfplätze oder Reitplätze, auch zeitgleich von </w:t>
      </w:r>
      <w:r>
        <w:rPr>
          <w:rFonts w:ascii="Arial" w:eastAsia="Times New Roman" w:hAnsi="Arial" w:cs="Arial"/>
          <w:color w:val="000000"/>
          <w:u w:val="single"/>
        </w:rPr>
        <w:t>mehreren individualsportlich aktiven Personen</w:t>
      </w:r>
      <w:r>
        <w:rPr>
          <w:rFonts w:ascii="Arial" w:eastAsia="Times New Roman" w:hAnsi="Arial" w:cs="Arial"/>
          <w:color w:val="000000"/>
        </w:rPr>
        <w:t xml:space="preserve"> im Sinne dieser Nummer genutzt werden. Voraussetzung für die Nutzung ist, dass keine Umkleiden und Sanitäreinrichtungen geteilt werden und Personen, die nicht gemeinsam sportlich aktiv sind, sich nicht begegnen.</w:t>
      </w:r>
    </w:p>
    <w:p w14:paraId="1A567B17" w14:textId="77777777" w:rsidR="001F7878" w:rsidRDefault="001F7878" w:rsidP="001F7878">
      <w:pPr>
        <w:ind w:left="2880"/>
        <w:rPr>
          <w:rFonts w:ascii="Arial" w:hAnsi="Arial" w:cs="Arial"/>
          <w:color w:val="000000"/>
        </w:rPr>
      </w:pPr>
    </w:p>
    <w:p w14:paraId="02BCE146" w14:textId="77777777" w:rsidR="001F7878" w:rsidRDefault="001F7878" w:rsidP="001F7878">
      <w:pPr>
        <w:pStyle w:val="Listenabsatz"/>
        <w:ind w:left="2160"/>
        <w:rPr>
          <w:rFonts w:ascii="Arial" w:hAnsi="Arial" w:cs="Arial"/>
          <w:color w:val="000000"/>
          <w:u w:val="single"/>
        </w:rPr>
      </w:pPr>
      <w:r>
        <w:rPr>
          <w:rFonts w:ascii="Arial" w:hAnsi="Arial" w:cs="Arial"/>
          <w:color w:val="000000"/>
          <w:u w:val="single"/>
        </w:rPr>
        <w:t>Die Nutzung von Anlagen für den Reha-Sport, Schul-, Spitzen- und Profisport ist von der Untersagung ausgenommen.</w:t>
      </w:r>
    </w:p>
    <w:p w14:paraId="231AEB96" w14:textId="77777777" w:rsidR="001F7878" w:rsidRDefault="001F7878" w:rsidP="001F7878">
      <w:pPr>
        <w:rPr>
          <w:rFonts w:ascii="Arial" w:hAnsi="Arial" w:cs="Arial"/>
          <w:color w:val="000000"/>
          <w:u w:val="single"/>
        </w:rPr>
      </w:pPr>
    </w:p>
    <w:p w14:paraId="5ACC92F7" w14:textId="77777777" w:rsidR="001F7878" w:rsidRDefault="001F7878" w:rsidP="001F7878">
      <w:pPr>
        <w:numPr>
          <w:ilvl w:val="1"/>
          <w:numId w:val="4"/>
        </w:numPr>
        <w:rPr>
          <w:rFonts w:ascii="Arial" w:eastAsia="Times New Roman" w:hAnsi="Arial" w:cs="Arial"/>
          <w:color w:val="000000"/>
        </w:rPr>
      </w:pPr>
      <w:r>
        <w:rPr>
          <w:rFonts w:ascii="Arial" w:eastAsia="Times New Roman" w:hAnsi="Arial" w:cs="Arial"/>
          <w:b/>
          <w:bCs/>
          <w:color w:val="000000"/>
        </w:rPr>
        <w:t xml:space="preserve">Nr. 8 und 9 Bäder und Saunen: </w:t>
      </w:r>
      <w:r>
        <w:rPr>
          <w:rFonts w:ascii="Arial" w:eastAsia="Times New Roman" w:hAnsi="Arial" w:cs="Arial"/>
          <w:color w:val="000000"/>
        </w:rPr>
        <w:t>der Betrieb von Bädern, Badeseen und Saunen ist untersagt.</w:t>
      </w:r>
    </w:p>
    <w:p w14:paraId="752EE46B" w14:textId="77777777" w:rsidR="001F7878" w:rsidRDefault="001F7878" w:rsidP="001F7878">
      <w:pPr>
        <w:rPr>
          <w:rFonts w:ascii="Arial" w:hAnsi="Arial" w:cs="Arial"/>
          <w:color w:val="000000"/>
        </w:rPr>
      </w:pPr>
    </w:p>
    <w:p w14:paraId="22FDE325" w14:textId="77777777" w:rsidR="001F7878" w:rsidRDefault="001F7878" w:rsidP="001F7878">
      <w:pPr>
        <w:pStyle w:val="Listenabsatz"/>
        <w:ind w:left="2160"/>
        <w:rPr>
          <w:rFonts w:ascii="Arial" w:hAnsi="Arial" w:cs="Arial"/>
          <w:color w:val="000000"/>
          <w:u w:val="single"/>
        </w:rPr>
      </w:pPr>
      <w:r>
        <w:rPr>
          <w:rFonts w:ascii="Arial" w:hAnsi="Arial" w:cs="Arial"/>
          <w:color w:val="000000"/>
          <w:u w:val="single"/>
        </w:rPr>
        <w:t xml:space="preserve">Die Nutzung von Anlagen (abgesehen </w:t>
      </w:r>
      <w:proofErr w:type="gramStart"/>
      <w:r>
        <w:rPr>
          <w:rFonts w:ascii="Arial" w:hAnsi="Arial" w:cs="Arial"/>
          <w:color w:val="000000"/>
          <w:u w:val="single"/>
        </w:rPr>
        <w:t>der Saunen</w:t>
      </w:r>
      <w:proofErr w:type="gramEnd"/>
      <w:r>
        <w:rPr>
          <w:rFonts w:ascii="Arial" w:hAnsi="Arial" w:cs="Arial"/>
          <w:color w:val="000000"/>
          <w:u w:val="single"/>
        </w:rPr>
        <w:t>) ist für den Reha-Sport, Schul-, Spitzen- und Profisport ist von der Untersagung ausgenommen.</w:t>
      </w:r>
    </w:p>
    <w:p w14:paraId="00FFC91A" w14:textId="77777777" w:rsidR="001F7878" w:rsidRDefault="001F7878" w:rsidP="001F7878">
      <w:pPr>
        <w:pStyle w:val="Listenabsatz"/>
        <w:ind w:left="2160"/>
        <w:rPr>
          <w:rFonts w:ascii="Arial" w:hAnsi="Arial" w:cs="Arial"/>
          <w:b/>
          <w:bCs/>
          <w:color w:val="000000"/>
          <w:u w:val="single"/>
        </w:rPr>
      </w:pPr>
    </w:p>
    <w:p w14:paraId="6FD2A8EF" w14:textId="77777777" w:rsidR="001F7878" w:rsidRDefault="001F7878" w:rsidP="001F7878">
      <w:pPr>
        <w:numPr>
          <w:ilvl w:val="2"/>
          <w:numId w:val="3"/>
        </w:numPr>
        <w:rPr>
          <w:rFonts w:ascii="Arial" w:eastAsia="Times New Roman" w:hAnsi="Arial" w:cs="Arial"/>
          <w:b/>
          <w:bCs/>
          <w:u w:val="single"/>
        </w:rPr>
      </w:pPr>
      <w:r>
        <w:rPr>
          <w:rFonts w:ascii="Arial" w:eastAsia="Times New Roman" w:hAnsi="Arial" w:cs="Arial"/>
          <w:b/>
          <w:bCs/>
          <w:u w:val="single"/>
        </w:rPr>
        <w:t xml:space="preserve">Absatz 2 </w:t>
      </w:r>
      <w:r>
        <w:rPr>
          <w:rFonts w:ascii="Arial" w:eastAsia="Times New Roman" w:hAnsi="Arial" w:cs="Arial"/>
          <w:u w:val="single"/>
        </w:rPr>
        <w:t>„</w:t>
      </w:r>
      <w:r>
        <w:rPr>
          <w:rFonts w:ascii="Arial" w:eastAsia="Times New Roman" w:hAnsi="Arial" w:cs="Arial"/>
          <w:b/>
          <w:bCs/>
          <w:u w:val="single"/>
        </w:rPr>
        <w:t>Einzelhandelsbetriebe und Märkte“:</w:t>
      </w:r>
    </w:p>
    <w:p w14:paraId="7FA7C565" w14:textId="77777777" w:rsidR="001F7878" w:rsidRDefault="001F7878" w:rsidP="001F7878">
      <w:pPr>
        <w:numPr>
          <w:ilvl w:val="1"/>
          <w:numId w:val="4"/>
        </w:numPr>
        <w:rPr>
          <w:rFonts w:ascii="Arial" w:eastAsia="Times New Roman" w:hAnsi="Arial" w:cs="Arial"/>
          <w:b/>
          <w:bCs/>
          <w:u w:val="single"/>
        </w:rPr>
      </w:pPr>
      <w:r>
        <w:rPr>
          <w:rFonts w:ascii="Arial" w:eastAsia="Times New Roman" w:hAnsi="Arial" w:cs="Arial"/>
        </w:rPr>
        <w:t xml:space="preserve">Einzelhandelsbetriebe und Märkte im Sinne der §§ 66 bis 68 Gewerbeordnung, soweit diese in geschlossenen Räumen stattfinden, haben die Anzahl der zeitgleich anwesenden Kundinnen und Kunden </w:t>
      </w:r>
      <w:r>
        <w:rPr>
          <w:rFonts w:ascii="Arial" w:eastAsia="Times New Roman" w:hAnsi="Arial" w:cs="Arial"/>
        </w:rPr>
        <w:lastRenderedPageBreak/>
        <w:t>in Abhängigkeit von der Größe der Verkaufsflächen nach den Nr. 1 – 3 zu beschränken.</w:t>
      </w:r>
    </w:p>
    <w:p w14:paraId="624CA0B6" w14:textId="77777777" w:rsidR="001F7878" w:rsidRDefault="001F7878" w:rsidP="001F7878">
      <w:pPr>
        <w:ind w:left="2124"/>
        <w:rPr>
          <w:b/>
          <w:bCs/>
          <w:color w:val="1F497D"/>
          <w:u w:val="single"/>
        </w:rPr>
      </w:pPr>
    </w:p>
    <w:p w14:paraId="30BE4B0C" w14:textId="77777777" w:rsidR="001F7878" w:rsidRDefault="001F7878" w:rsidP="001F7878">
      <w:pPr>
        <w:ind w:left="2124"/>
        <w:rPr>
          <w:rFonts w:ascii="Arial" w:hAnsi="Arial" w:cs="Arial"/>
        </w:rPr>
      </w:pPr>
      <w:r>
        <w:rPr>
          <w:rFonts w:ascii="Arial" w:hAnsi="Arial" w:cs="Arial"/>
        </w:rPr>
        <w:t>Zu beachten ist, dass im Lebensmitteleinzelhandel die Messgröße 10 m² pro Kunde unabhängig von der Gesamtfläche des Handelsgeschäfts fortgelten wird.</w:t>
      </w:r>
    </w:p>
    <w:p w14:paraId="0F51D88A" w14:textId="77777777" w:rsidR="001F7878" w:rsidRDefault="001F7878" w:rsidP="001F7878">
      <w:pPr>
        <w:pStyle w:val="Listenabsatz"/>
        <w:ind w:left="2160"/>
        <w:rPr>
          <w:rFonts w:ascii="Arial" w:hAnsi="Arial" w:cs="Arial"/>
          <w:b/>
          <w:bCs/>
          <w:u w:val="single"/>
        </w:rPr>
      </w:pPr>
    </w:p>
    <w:p w14:paraId="51ECDD0E" w14:textId="77777777" w:rsidR="001F7878" w:rsidRDefault="001F7878" w:rsidP="001F7878">
      <w:pPr>
        <w:ind w:left="1065"/>
        <w:rPr>
          <w:rFonts w:ascii="Arial" w:hAnsi="Arial" w:cs="Arial"/>
        </w:rPr>
      </w:pPr>
      <w:r>
        <w:rPr>
          <w:rFonts w:ascii="Arial" w:hAnsi="Arial" w:cs="Arial"/>
        </w:rPr>
        <w:t xml:space="preserve">Wie bereits aufgeführt tritt der </w:t>
      </w:r>
      <w:r>
        <w:rPr>
          <w:rFonts w:ascii="Arial" w:hAnsi="Arial" w:cs="Arial"/>
          <w:color w:val="000000"/>
        </w:rPr>
        <w:t>§ 13 Abs. 2 bis 4 bereits mit Ablauf des 20. Dezembers 2020 außer Kraft. Auch hier kommt es im Vorfeld zu einer Neubewertung; eine Verlängerung wird abhängig von der Infektionslage sein und ist zumindest derzeit nicht unwahrscheinlich.</w:t>
      </w:r>
    </w:p>
    <w:p w14:paraId="06E94166" w14:textId="77777777" w:rsidR="001F7878" w:rsidRDefault="001F7878" w:rsidP="001F7878">
      <w:pPr>
        <w:pStyle w:val="Listenabsatz"/>
        <w:ind w:left="2160"/>
        <w:rPr>
          <w:rFonts w:ascii="Arial" w:hAnsi="Arial" w:cs="Arial"/>
          <w:b/>
          <w:bCs/>
          <w:u w:val="single"/>
        </w:rPr>
      </w:pPr>
    </w:p>
    <w:p w14:paraId="3D7E9B54" w14:textId="77777777" w:rsidR="001F7878" w:rsidRDefault="001F7878" w:rsidP="001F7878">
      <w:pPr>
        <w:numPr>
          <w:ilvl w:val="0"/>
          <w:numId w:val="7"/>
        </w:numPr>
        <w:rPr>
          <w:rFonts w:ascii="Arial" w:eastAsia="Times New Roman" w:hAnsi="Arial" w:cs="Arial"/>
          <w:b/>
          <w:bCs/>
          <w:u w:val="single"/>
        </w:rPr>
      </w:pPr>
      <w:r>
        <w:rPr>
          <w:rFonts w:ascii="Arial" w:eastAsia="Times New Roman" w:hAnsi="Arial" w:cs="Arial"/>
          <w:b/>
          <w:bCs/>
        </w:rPr>
        <w:t xml:space="preserve">Weitergehende Maßnahmen, insb. „Hotspotstrategie“ (§ 20): </w:t>
      </w:r>
      <w:r>
        <w:rPr>
          <w:rFonts w:ascii="Arial" w:eastAsia="Times New Roman" w:hAnsi="Arial" w:cs="Arial"/>
        </w:rPr>
        <w:t xml:space="preserve">In Absatz 1 wird auch weiterhin klargestellt, dass das Recht der nach dem Infektionsschutzrecht zuständigen Behörden, </w:t>
      </w:r>
      <w:r>
        <w:rPr>
          <w:rFonts w:ascii="Arial" w:eastAsia="Times New Roman" w:hAnsi="Arial" w:cs="Arial"/>
          <w:b/>
          <w:bCs/>
          <w:u w:val="single"/>
        </w:rPr>
        <w:t>weitergehende Maßnahmen</w:t>
      </w:r>
      <w:r>
        <w:rPr>
          <w:rFonts w:ascii="Arial" w:eastAsia="Times New Roman" w:hAnsi="Arial" w:cs="Arial"/>
        </w:rPr>
        <w:t xml:space="preserve"> zum Schutz vor Infektionen zu erlassen, von dieser Verordnung und von subdelegierten Verordnungen unberührt bleibt.</w:t>
      </w:r>
    </w:p>
    <w:p w14:paraId="3D19C4FA" w14:textId="77777777" w:rsidR="001F7878" w:rsidRDefault="001F7878" w:rsidP="001F7878">
      <w:pPr>
        <w:pStyle w:val="Listenabsatz"/>
        <w:ind w:left="1065"/>
        <w:rPr>
          <w:rFonts w:ascii="Arial" w:hAnsi="Arial" w:cs="Arial"/>
          <w:b/>
          <w:bCs/>
          <w:u w:val="single"/>
        </w:rPr>
      </w:pPr>
    </w:p>
    <w:p w14:paraId="20A66E09" w14:textId="77777777" w:rsidR="001F7878" w:rsidRDefault="001F7878" w:rsidP="001F7878">
      <w:pPr>
        <w:pStyle w:val="Listenabsatz"/>
        <w:ind w:left="1065"/>
        <w:rPr>
          <w:rFonts w:ascii="Arial" w:hAnsi="Arial" w:cs="Arial"/>
          <w:b/>
          <w:bCs/>
          <w:color w:val="000000"/>
          <w:u w:val="single"/>
        </w:rPr>
      </w:pPr>
      <w:r>
        <w:rPr>
          <w:rFonts w:ascii="Arial" w:hAnsi="Arial" w:cs="Arial"/>
        </w:rPr>
        <w:t xml:space="preserve">In Absatz 3 werden die Möglichkeiten einer sogenannten „Hotspotstrategie“ aufgezeigt. Bei besonders extremen Infektionslagen mit einer Inzidenz von über 200 Neuinfektionen pro 100.000 Einwohnern pro Woche und diffusem Infektionsgeschehen sollen die umfassenden allgemeinen Maßnahmen nochmals erweitert werden, um kurzfristig eine deutliche Absenkung des Infektionsgeschehens zu erreichen. </w:t>
      </w:r>
      <w:r>
        <w:rPr>
          <w:rFonts w:ascii="Arial" w:hAnsi="Arial" w:cs="Arial"/>
          <w:b/>
          <w:bCs/>
          <w:u w:val="single"/>
        </w:rPr>
        <w:t xml:space="preserve">Hierfür wird das Sozialministerium ermächtigt, die zuständigen örtlichen Behörden </w:t>
      </w:r>
      <w:proofErr w:type="gramStart"/>
      <w:r>
        <w:rPr>
          <w:rFonts w:ascii="Arial" w:hAnsi="Arial" w:cs="Arial"/>
          <w:b/>
          <w:bCs/>
          <w:u w:val="single"/>
        </w:rPr>
        <w:t>mittels Erlass</w:t>
      </w:r>
      <w:proofErr w:type="gramEnd"/>
      <w:r>
        <w:rPr>
          <w:rFonts w:ascii="Arial" w:hAnsi="Arial" w:cs="Arial"/>
          <w:b/>
          <w:bCs/>
          <w:u w:val="single"/>
        </w:rPr>
        <w:t xml:space="preserve"> zur Umsetzung der Hotspotstrategie anzuweisen.</w:t>
      </w:r>
      <w:r>
        <w:rPr>
          <w:rFonts w:ascii="Arial" w:hAnsi="Arial" w:cs="Arial"/>
          <w:b/>
          <w:bCs/>
        </w:rPr>
        <w:t xml:space="preserve"> </w:t>
      </w:r>
      <w:r>
        <w:rPr>
          <w:rFonts w:ascii="Arial" w:hAnsi="Arial" w:cs="Arial"/>
          <w:color w:val="000000"/>
        </w:rPr>
        <w:t>Der Erlass soll zeitnah veröffentlicht werden und beinhaltet konkrete Umsetzungsmaßnahmen zum Eindämmen der Pandemie in den entsprechenden „Hotspots“.</w:t>
      </w:r>
    </w:p>
    <w:p w14:paraId="743F2FFB" w14:textId="20B4BAAA" w:rsidR="00F65C88" w:rsidRDefault="00F65C88"/>
    <w:sectPr w:rsidR="00F65C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061B"/>
    <w:multiLevelType w:val="hybridMultilevel"/>
    <w:tmpl w:val="88767CA6"/>
    <w:lvl w:ilvl="0" w:tplc="04070005">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 w15:restartNumberingAfterBreak="0">
    <w:nsid w:val="08560CF8"/>
    <w:multiLevelType w:val="hybridMultilevel"/>
    <w:tmpl w:val="811CB576"/>
    <w:lvl w:ilvl="0" w:tplc="04070001">
      <w:start w:val="1"/>
      <w:numFmt w:val="bullet"/>
      <w:lvlText w:val=""/>
      <w:lvlJc w:val="left"/>
      <w:pPr>
        <w:ind w:left="720" w:hanging="360"/>
      </w:pPr>
      <w:rPr>
        <w:rFonts w:ascii="Symbol" w:hAnsi="Symbol" w:hint="default"/>
      </w:rPr>
    </w:lvl>
    <w:lvl w:ilvl="1" w:tplc="AF54D366">
      <w:start w:val="1"/>
      <w:numFmt w:val="decimal"/>
      <w:lvlText w:val="%2."/>
      <w:lvlJc w:val="left"/>
      <w:pPr>
        <w:ind w:left="1440" w:hanging="360"/>
      </w:pPr>
      <w:rPr>
        <w:b w:val="0"/>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2DA7A1A"/>
    <w:multiLevelType w:val="hybridMultilevel"/>
    <w:tmpl w:val="57E8F7D2"/>
    <w:lvl w:ilvl="0" w:tplc="04070005">
      <w:start w:val="1"/>
      <w:numFmt w:val="bullet"/>
      <w:lvlText w:val=""/>
      <w:lvlJc w:val="left"/>
      <w:pPr>
        <w:ind w:left="1065" w:hanging="360"/>
      </w:pPr>
      <w:rPr>
        <w:rFonts w:ascii="Wingdings" w:hAnsi="Wingdings"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abstractNum w:abstractNumId="3" w15:restartNumberingAfterBreak="0">
    <w:nsid w:val="3B0F6B5E"/>
    <w:multiLevelType w:val="hybridMultilevel"/>
    <w:tmpl w:val="10527D0A"/>
    <w:lvl w:ilvl="0" w:tplc="04070005">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9">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3D703298"/>
    <w:multiLevelType w:val="hybridMultilevel"/>
    <w:tmpl w:val="7BF4B842"/>
    <w:lvl w:ilvl="0" w:tplc="04070005">
      <w:start w:val="1"/>
      <w:numFmt w:val="bullet"/>
      <w:lvlText w:val=""/>
      <w:lvlJc w:val="left"/>
      <w:pPr>
        <w:ind w:left="1068" w:hanging="360"/>
      </w:pPr>
      <w:rPr>
        <w:rFonts w:ascii="Wingdings" w:hAnsi="Wingdings" w:hint="default"/>
      </w:rPr>
    </w:lvl>
    <w:lvl w:ilvl="1" w:tplc="04070003">
      <w:start w:val="1"/>
      <w:numFmt w:val="bullet"/>
      <w:lvlText w:val="o"/>
      <w:lvlJc w:val="left"/>
      <w:pPr>
        <w:ind w:left="1788" w:hanging="360"/>
      </w:pPr>
      <w:rPr>
        <w:rFonts w:ascii="Courier New" w:hAnsi="Courier New" w:cs="Courier New" w:hint="default"/>
      </w:rPr>
    </w:lvl>
    <w:lvl w:ilvl="2" w:tplc="0407000B">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5" w15:restartNumberingAfterBreak="0">
    <w:nsid w:val="498705FE"/>
    <w:multiLevelType w:val="hybridMultilevel"/>
    <w:tmpl w:val="18D64D30"/>
    <w:lvl w:ilvl="0" w:tplc="04070005">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B">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6" w15:restartNumberingAfterBreak="0">
    <w:nsid w:val="5B6172B4"/>
    <w:multiLevelType w:val="hybridMultilevel"/>
    <w:tmpl w:val="6E3A470C"/>
    <w:lvl w:ilvl="0" w:tplc="04070005">
      <w:start w:val="1"/>
      <w:numFmt w:val="bullet"/>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B">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878"/>
    <w:rsid w:val="001F7878"/>
    <w:rsid w:val="00F65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049E3"/>
  <w15:chartTrackingRefBased/>
  <w15:docId w15:val="{3299AF2D-AAF5-4203-8F5C-ED22015B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7878"/>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F78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34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6804</Characters>
  <Application>Microsoft Office Word</Application>
  <DocSecurity>0</DocSecurity>
  <Lines>56</Lines>
  <Paragraphs>15</Paragraphs>
  <ScaleCrop>false</ScaleCrop>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Oehler</dc:creator>
  <cp:keywords/>
  <dc:description/>
  <cp:lastModifiedBy>Josef Oehler</cp:lastModifiedBy>
  <cp:revision>1</cp:revision>
  <dcterms:created xsi:type="dcterms:W3CDTF">2020-12-01T07:13:00Z</dcterms:created>
  <dcterms:modified xsi:type="dcterms:W3CDTF">2020-12-01T07:24:00Z</dcterms:modified>
</cp:coreProperties>
</file>